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5F" w:rsidRDefault="005B765F" w:rsidP="005B765F">
      <w:pPr>
        <w:spacing w:after="0" w:line="240" w:lineRule="auto"/>
        <w:textAlignment w:val="baseline"/>
        <w:rPr>
          <w:rFonts w:ascii="Arial" w:eastAsia="Times New Roman" w:hAnsi="Arial" w:cs="Arial"/>
          <w:color w:val="585757"/>
          <w:sz w:val="28"/>
          <w:szCs w:val="28"/>
          <w:lang w:eastAsia="ru-RU"/>
        </w:rPr>
      </w:pPr>
      <w:r w:rsidRPr="005B765F">
        <w:rPr>
          <w:rFonts w:ascii="Arial" w:eastAsia="Times New Roman" w:hAnsi="Arial" w:cs="Arial"/>
          <w:color w:val="585757"/>
          <w:sz w:val="28"/>
          <w:szCs w:val="28"/>
          <w:lang w:eastAsia="ru-RU"/>
        </w:rPr>
        <w:t>С изменениями.</w:t>
      </w:r>
      <w:r>
        <w:rPr>
          <w:rFonts w:ascii="Arial" w:eastAsia="Times New Roman" w:hAnsi="Arial" w:cs="Arial"/>
          <w:color w:val="585757"/>
          <w:sz w:val="28"/>
          <w:szCs w:val="28"/>
          <w:lang w:eastAsia="ru-RU"/>
        </w:rPr>
        <w:t xml:space="preserve"> </w:t>
      </w:r>
      <w:r w:rsidRPr="005B765F">
        <w:rPr>
          <w:rFonts w:ascii="Arial" w:eastAsia="Times New Roman" w:hAnsi="Arial" w:cs="Arial"/>
          <w:color w:val="585757"/>
          <w:sz w:val="28"/>
          <w:szCs w:val="28"/>
          <w:lang w:eastAsia="ru-RU"/>
        </w:rPr>
        <w:t>Дата введения 01.03.02.</w:t>
      </w:r>
    </w:p>
    <w:p w:rsidR="005B765F" w:rsidRPr="005B765F" w:rsidRDefault="005B765F" w:rsidP="005B765F">
      <w:pPr>
        <w:spacing w:after="0" w:line="240" w:lineRule="auto"/>
        <w:textAlignment w:val="baseline"/>
        <w:rPr>
          <w:rFonts w:ascii="Arial" w:eastAsia="Times New Roman" w:hAnsi="Arial" w:cs="Arial"/>
          <w:color w:val="585757"/>
          <w:sz w:val="28"/>
          <w:szCs w:val="28"/>
          <w:lang w:eastAsia="ru-RU"/>
        </w:rPr>
      </w:pPr>
    </w:p>
    <w:p w:rsidR="005B765F" w:rsidRDefault="005B765F" w:rsidP="005B76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Область применения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br/>
        <w:t>Настоящий стандарт определяет типы и основные размеры, а также технические требования к государственным регистрационным знакам (далее — регистрационным знакам), устанавливаемым на транспортные средства.        Требования настоящего стандарта являются обязательными.        Обязательные требования к регистрационным знакам, направленные на обеспечение безопасности дорожного движения, жизни, здоровья, сохранности имущества населения и охраны окружающей среды, изложены в 3.6, 3.8, 4.6—4.8.</w:t>
      </w:r>
    </w:p>
    <w:p w:rsidR="005B765F" w:rsidRDefault="005B765F" w:rsidP="005B765F">
      <w:pPr>
        <w:spacing w:after="0" w:line="240" w:lineRule="auto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B765F" w:rsidRPr="005B765F" w:rsidRDefault="005B765F" w:rsidP="005B765F">
      <w:pPr>
        <w:spacing w:after="0" w:line="240" w:lineRule="auto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B765F" w:rsidRPr="005B765F" w:rsidRDefault="005B765F" w:rsidP="005B76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Нормативные</w:t>
      </w:r>
      <w:proofErr w:type="gramStart"/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 xml:space="preserve"> 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В</w:t>
      </w:r>
      <w:proofErr w:type="gramEnd"/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настоящем стандарте использованы ссылки на следующие стандарты: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9.032—74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Единая система защиты от коррозии и старения. Покрытия лакокрасочные. Классификация и обозначения.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9.104—79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 Единая система защиты от коррозии и старения. Покрытия лакокрасочные. Группы </w:t>
      </w:r>
      <w:proofErr w:type="gramStart"/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условии</w:t>
      </w:r>
      <w:proofErr w:type="gramEnd"/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эксплуатации.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9.401—91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Единая система защиты от коррозии и старения. Покрытия лакокрасочные. Общие требования и методы ускоренных испытаний на стойкость к воздействию климатических факторов.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9.407—84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Единая система защиты от коррозии и старения. Покрытия лакокрасочные. Метод оценки внешнего вида.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166—89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Штангенциркули. Технические условия.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380—88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Сталь углеродистая обыкновенного качества. Марки.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1412—85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Чугун с пластинчатым графитом для отливок. Марки.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3489.2—71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Шрифты типографские. Гарнитура журнальная рубленая (для алфавитов на русской и латинской основах). Назначение. Рисунок. Линия шрифта. Емкость.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3489.17—71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Шрифты типографские. Гарнитура “Балтика” (для алфавитов на русской и латинской основах). Назначение. Рисунок. Линия шрифта. Емкость.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4765—73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Материалы лакокрасочные. Метод определения прочности пленок при ударе.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15140—78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Материалы лакокрасочные. Методы определения адгезии.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15150—69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25346—89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Основные нормы взаимозаменяемости. ЕСДП. Общие положения, ряды допусков и основных отклонений.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 xml:space="preserve">ГОСТ </w:t>
      </w:r>
      <w:proofErr w:type="gramStart"/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Р</w:t>
      </w:r>
      <w:proofErr w:type="gramEnd"/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 xml:space="preserve"> 41.4-99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 Единообразные предписания, касающиеся официального утверждения приспособлений для освещения заднего 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lastRenderedPageBreak/>
        <w:t>номерного знака автотранспортных средств (за исключением мотоциклов) и их прицепов.</w:t>
      </w:r>
    </w:p>
    <w:p w:rsid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ГОСТ 7721-89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Источники света для измерения цвета. Типы. Технические требования. Маркировка.</w:t>
      </w:r>
    </w:p>
    <w:p w:rsidR="005B765F" w:rsidRDefault="005B765F" w:rsidP="005B765F">
      <w:pPr>
        <w:spacing w:after="0" w:line="240" w:lineRule="auto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B765F" w:rsidRPr="005B765F" w:rsidRDefault="005B765F" w:rsidP="005B765F">
      <w:pPr>
        <w:spacing w:after="0" w:line="240" w:lineRule="auto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B765F" w:rsidRPr="005B765F" w:rsidRDefault="005B765F" w:rsidP="005B76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Типы и основные размеры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br/>
        <w:t>3.1. В зависимости от применяемых регистрационных знаков транспортные средства подразделяют на следующие группы: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proofErr w:type="gramStart"/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1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транспортные средства, принадлежащие юридическим лицам и гражданам Российской Федерации; юридическим лицам и гражданам иностранных государств, кроме отнесенных к группе 3, а также лицам без гражданства;</w:t>
      </w:r>
      <w:proofErr w:type="gramEnd"/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2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 — транспортные средства войсковых частей и </w:t>
      </w:r>
      <w:proofErr w:type="gramStart"/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соединении</w:t>
      </w:r>
      <w:proofErr w:type="gramEnd"/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, находящихся под юрисдикцией Российской Федерации и образованных в соответствии с действующими законодательными актами;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3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транспортные средства, принадлежащие дипломатическим представительствам, консульским учреждениям, международным (межгосударственным) организациям;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4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транспортные средства, временно допущенные к участию в дорожном движении.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5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транспортные средства, принадлежащие органам внутренних дел Российской Федерации.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3.2 Типы регистрационных знаков</w:t>
      </w:r>
    </w:p>
    <w:p w:rsidR="005B765F" w:rsidRPr="005B765F" w:rsidRDefault="005B765F" w:rsidP="005B765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3.2.1. Транспортные средства 1-й группы.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Устанавливают следующие типы регистрационных знаков: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1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легковых, грузовых, грузопассажирских автомобилей и автобусов (кроме отнесенных к типу 1 Б);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1</w:t>
      </w:r>
      <w:proofErr w:type="gramStart"/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 xml:space="preserve"> А</w:t>
      </w:r>
      <w:proofErr w:type="gramEnd"/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легковых автомобилей должностных лиц по перечню, определяемому Правительством Российской Федерации (особые регистрационные знаки);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1</w:t>
      </w:r>
      <w:proofErr w:type="gramStart"/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 xml:space="preserve"> Б</w:t>
      </w:r>
      <w:proofErr w:type="gramEnd"/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легковых автомобилей, используемых для перевозки пассажиров на коммерческой основе, автобусов и грузовых автомобилей, оборудованных для перевозок более 8 человек (кроме случаев, если указанные перевозки осуществляются для собственных нужд юридического лица или индивидуального предпринимателя).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2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автомобильных прицепов (включая задние прицепы к мотоциклам и мотороллерам) и полуприцепов;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3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тракторов, тракторных прицепов и полуприцепов, другой сельскохозяйственной, дорожной и самоходной техники;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4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мотоциклов, мотороллеров, мопедов и мотонарт.</w:t>
      </w:r>
    </w:p>
    <w:p w:rsidR="005B765F" w:rsidRPr="005B765F" w:rsidRDefault="005B765F" w:rsidP="005B765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3.2.2. Транспортные средства 2-й группы.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Устанавливают следующие типы регистрационных знаков: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5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легковых, грузовых, грузопассажирских автомобилей и автобусов;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lastRenderedPageBreak/>
        <w:t>6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автомобильных прицепов (включая задние прицепы к мотоциклам и мотороллерам) и полуприцепов;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7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тракторов, тракторных прицепов и полуприцепов, другой дорожной и самоходной техники;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8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мотоциклов, мотороллеров и мотонарт.</w:t>
      </w:r>
    </w:p>
    <w:p w:rsidR="005B765F" w:rsidRPr="005B765F" w:rsidRDefault="005B765F" w:rsidP="005B765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3.2.3. Транспортные средства 3-й группы.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Устанавливают следующие типы регистрационных знаков:</w:t>
      </w:r>
    </w:p>
    <w:p w:rsidR="005B765F" w:rsidRP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9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легковых автомобилей глав дипломатических представительств;</w:t>
      </w:r>
    </w:p>
    <w:p w:rsidR="005B765F" w:rsidRDefault="005B765F" w:rsidP="005B765F">
      <w:pPr>
        <w:numPr>
          <w:ilvl w:val="2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10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легковых, грузовых, грузопассажирских автомобилей и автобусов дипломатических представительств, консульских учреждений, международных (межгосударственных) организаций и их сотрудников, аккредитованных при Министерстве иностранных дел Российской Федерации;</w:t>
      </w:r>
    </w:p>
    <w:p w:rsidR="005B765F" w:rsidRDefault="005B765F" w:rsidP="005B765F">
      <w:pPr>
        <w:spacing w:after="0" w:line="240" w:lineRule="auto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B765F" w:rsidRPr="005B765F" w:rsidRDefault="005B765F" w:rsidP="005B765F">
      <w:pPr>
        <w:spacing w:after="0" w:line="240" w:lineRule="auto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B765F" w:rsidRPr="005B765F" w:rsidRDefault="005B765F" w:rsidP="005B765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Транспортные средства 4-й группы.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Устанавливают следующий тип регистрационных знаков:</w:t>
      </w:r>
    </w:p>
    <w:p w:rsidR="005B765F" w:rsidRPr="005B765F" w:rsidRDefault="005B765F" w:rsidP="005B765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16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легковых, грузовых, грузопассажирских автомобилей, автобусов и прочих транспортных средств.</w:t>
      </w:r>
    </w:p>
    <w:p w:rsidR="005B765F" w:rsidRDefault="005B765F" w:rsidP="005B765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19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легковых, грузовых, грузопассажирских автомобилей, автобусов и прочих транспортных средств, окончательно выезжающих за пределы Российской Федерации, а также в иных случаях, определяемых Министерством внутренних дел Российской Федерации.</w:t>
      </w:r>
    </w:p>
    <w:p w:rsidR="005B765F" w:rsidRDefault="005B765F" w:rsidP="005B765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</w:pPr>
    </w:p>
    <w:p w:rsidR="005B765F" w:rsidRPr="005B765F" w:rsidRDefault="005B765F" w:rsidP="005B765F">
      <w:pPr>
        <w:spacing w:after="0" w:line="240" w:lineRule="auto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B765F" w:rsidRPr="005B765F" w:rsidRDefault="005B765F" w:rsidP="005B765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Транспортные средства 5-й группы.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Устанавливают следующий тип регистрационных знаков:</w:t>
      </w:r>
    </w:p>
    <w:p w:rsidR="005B765F" w:rsidRPr="005B765F" w:rsidRDefault="005B765F" w:rsidP="005B765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20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легковых, грузовых, грузопассажирских автомобилей, автобусов;</w:t>
      </w:r>
    </w:p>
    <w:p w:rsidR="005B765F" w:rsidRPr="005B765F" w:rsidRDefault="005B765F" w:rsidP="005B765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21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автомобильных прицепов (включая задние прицепы к мотоциклам и мотороллерам) и полуприцепов.</w:t>
      </w:r>
    </w:p>
    <w:p w:rsidR="005B765F" w:rsidRPr="005B765F" w:rsidRDefault="005B765F" w:rsidP="005B765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B765F">
        <w:rPr>
          <w:rFonts w:ascii="inherit" w:eastAsia="Times New Roman" w:hAnsi="inherit" w:cs="Arial"/>
          <w:b/>
          <w:bCs/>
          <w:color w:val="3C3C3C"/>
          <w:sz w:val="28"/>
          <w:szCs w:val="28"/>
          <w:lang w:eastAsia="ru-RU"/>
        </w:rPr>
        <w:t>22</w:t>
      </w:r>
      <w:r w:rsidRPr="005B765F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 — для мотоциклов.</w:t>
      </w:r>
    </w:p>
    <w:p w:rsidR="00DA2FAE" w:rsidRPr="005B765F" w:rsidRDefault="00DA2FAE" w:rsidP="005B765F">
      <w:pPr>
        <w:ind w:left="-709"/>
        <w:rPr>
          <w:sz w:val="28"/>
          <w:szCs w:val="28"/>
        </w:rPr>
      </w:pPr>
    </w:p>
    <w:sectPr w:rsidR="00DA2FAE" w:rsidRPr="005B765F" w:rsidSect="005B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5C8"/>
    <w:multiLevelType w:val="multilevel"/>
    <w:tmpl w:val="E12A8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765F"/>
    <w:rsid w:val="005B765F"/>
    <w:rsid w:val="00DA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65F"/>
    <w:rPr>
      <w:b/>
      <w:bCs/>
    </w:rPr>
  </w:style>
  <w:style w:type="character" w:customStyle="1" w:styleId="apple-converted-space">
    <w:name w:val="apple-converted-space"/>
    <w:basedOn w:val="a0"/>
    <w:rsid w:val="005B7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4881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Rasel</dc:creator>
  <cp:lastModifiedBy>Rasel</cp:lastModifiedBy>
  <cp:revision>1</cp:revision>
  <dcterms:created xsi:type="dcterms:W3CDTF">2016-03-29T10:05:00Z</dcterms:created>
  <dcterms:modified xsi:type="dcterms:W3CDTF">2016-03-29T10:07:00Z</dcterms:modified>
</cp:coreProperties>
</file>